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8600" w:x="2213" w:y="2068"/>
        <w:widowControl w:val="off"/>
        <w:autoSpaceDE w:val="off"/>
        <w:autoSpaceDN w:val="off"/>
        <w:spacing w:before="0" w:after="0" w:line="523" w:lineRule="exact"/>
        <w:ind w:left="0" w:right="0" w:first-line="0"/>
        <w:jc w:val="left"/>
        <w:rPr>
          <w:rFonts w:ascii="KOVCAQ+FZXBSJW--GB1-0" w:hAnsi="KOVCAQ+FZXBSJW--GB1-0" w:cs="KOVCAQ+FZXBSJW--GB1-0"/>
          <w:color w:val="000000"/>
          <w:spacing w:val="0"/>
          <w:sz w:val="44"/>
        </w:rPr>
      </w:pPr>
      <w:r>
        <w:rPr>
          <w:rFonts w:ascii="KOVCAQ+FZXBSJW--GB1-0" w:hAnsi="KOVCAQ+FZXBSJW--GB1-0" w:cs="KOVCAQ+FZXBSJW--GB1-0"/>
          <w:color w:val="000000"/>
          <w:spacing w:val="0"/>
          <w:sz w:val="44"/>
        </w:rPr>
        <w:t>关于印发《关于支持新型研发机构建设</w:t>
      </w:r>
    </w:p>
    <w:p>
      <w:pPr>
        <w:pStyle w:val="Normal"/>
        <w:framePr w:w="8600" w:x="2213" w:y="2068"/>
        <w:widowControl w:val="off"/>
        <w:autoSpaceDE w:val="off"/>
        <w:autoSpaceDN w:val="off"/>
        <w:spacing w:before="0" w:after="0" w:line="581" w:lineRule="exact"/>
        <w:ind w:left="1320" w:right="0" w:first-line="0"/>
        <w:jc w:val="left"/>
        <w:rPr>
          <w:rFonts w:ascii="KOVCAQ+FZXBSJW--GB1-0" w:hAnsi="KOVCAQ+FZXBSJW--GB1-0" w:cs="KOVCAQ+FZXBSJW--GB1-0"/>
          <w:color w:val="000000"/>
          <w:spacing w:val="0"/>
          <w:sz w:val="44"/>
        </w:rPr>
      </w:pPr>
      <w:r>
        <w:rPr>
          <w:rFonts w:ascii="KOVCAQ+FZXBSJW--GB1-0" w:hAnsi="KOVCAQ+FZXBSJW--GB1-0" w:cs="KOVCAQ+FZXBSJW--GB1-0"/>
          <w:color w:val="000000"/>
          <w:spacing w:val="0"/>
          <w:sz w:val="44"/>
        </w:rPr>
        <w:t>发展的若干措施》的通知</w:t>
      </w:r>
    </w:p>
    <w:p>
      <w:pPr>
        <w:pStyle w:val="Normal"/>
        <w:framePr w:w="3600" w:x="4392" w:y="3508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鲁科字〔2020〕145号</w:t>
      </w:r>
    </w:p>
    <w:p>
      <w:pPr>
        <w:pStyle w:val="Normal"/>
        <w:framePr w:w="9549" w:x="1800" w:y="467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省直有关部门、各有关单位：</w:t>
      </w:r>
    </w:p>
    <w:p>
      <w:pPr>
        <w:pStyle w:val="Normal"/>
        <w:framePr w:w="9549" w:x="1800" w:y="4670"/>
        <w:widowControl w:val="off"/>
        <w:autoSpaceDE w:val="off"/>
        <w:autoSpaceDN w:val="off"/>
        <w:spacing w:before="0" w:after="0" w:line="578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现将《关于支持新型研发机构建设发展的若干措施》印</w:t>
      </w:r>
    </w:p>
    <w:p>
      <w:pPr>
        <w:pStyle w:val="Normal"/>
        <w:framePr w:w="9549" w:x="1800" w:y="4670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发给你们，请遵照执行。</w:t>
      </w:r>
    </w:p>
    <w:p>
      <w:pPr>
        <w:pStyle w:val="Normal"/>
        <w:framePr w:w="9549" w:x="1800" w:y="4670"/>
        <w:widowControl w:val="off"/>
        <w:autoSpaceDE w:val="off"/>
        <w:autoSpaceDN w:val="off"/>
        <w:spacing w:before="0" w:after="0" w:line="581" w:lineRule="exact"/>
        <w:ind w:left="5746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山东省科学技术厅</w:t>
      </w:r>
    </w:p>
    <w:p>
      <w:pPr>
        <w:pStyle w:val="Normal"/>
        <w:framePr w:w="3360" w:x="7226" w:y="6988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中共山东省委组织部</w:t>
      </w:r>
    </w:p>
    <w:p>
      <w:pPr>
        <w:pStyle w:val="Normal"/>
        <w:framePr w:w="4049" w:x="6586" w:y="7569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山东省发展和改革委员会</w:t>
      </w:r>
    </w:p>
    <w:p>
      <w:pPr>
        <w:pStyle w:val="Normal"/>
        <w:framePr w:w="4049" w:x="6586" w:y="7569"/>
        <w:widowControl w:val="off"/>
        <w:autoSpaceDE w:val="off"/>
        <w:autoSpaceDN w:val="off"/>
        <w:spacing w:before="0" w:after="0" w:line="581" w:lineRule="exact"/>
        <w:ind w:left="160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山东省教育厅</w:t>
      </w:r>
    </w:p>
    <w:p>
      <w:pPr>
        <w:pStyle w:val="Normal"/>
        <w:framePr w:w="3682" w:x="6905" w:y="8728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山东省工业和信息化厅</w:t>
      </w:r>
    </w:p>
    <w:p>
      <w:pPr>
        <w:pStyle w:val="Normal"/>
        <w:framePr w:w="3682" w:x="6905" w:y="8728"/>
        <w:widowControl w:val="off"/>
        <w:autoSpaceDE w:val="off"/>
        <w:autoSpaceDN w:val="off"/>
        <w:spacing w:before="0" w:after="0" w:line="581" w:lineRule="exact"/>
        <w:ind w:left="1282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山东省财政厅</w:t>
      </w:r>
    </w:p>
    <w:p>
      <w:pPr>
        <w:pStyle w:val="Normal"/>
        <w:framePr w:w="4783" w:x="5945" w:y="9890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山东省人力资源和社会保障厅</w:t>
      </w:r>
    </w:p>
    <w:p>
      <w:pPr>
        <w:pStyle w:val="Normal"/>
        <w:framePr w:w="4783" w:x="5945" w:y="9890"/>
        <w:widowControl w:val="off"/>
        <w:autoSpaceDE w:val="off"/>
        <w:autoSpaceDN w:val="off"/>
        <w:spacing w:before="0" w:after="0" w:line="578" w:lineRule="exact"/>
        <w:ind w:left="160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山东省自然资源厅</w:t>
      </w:r>
    </w:p>
    <w:p>
      <w:pPr>
        <w:pStyle w:val="Normal"/>
        <w:framePr w:w="4416" w:x="6266" w:y="11049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山东省地方金融监督管理局</w:t>
      </w:r>
    </w:p>
    <w:p>
      <w:pPr>
        <w:pStyle w:val="Normal"/>
        <w:framePr w:w="4416" w:x="6266" w:y="11049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国家税务总局山东省税务局</w:t>
      </w:r>
    </w:p>
    <w:p>
      <w:pPr>
        <w:pStyle w:val="Normal"/>
        <w:framePr w:w="4416" w:x="6266" w:y="11049"/>
        <w:widowControl w:val="off"/>
        <w:autoSpaceDE w:val="off"/>
        <w:autoSpaceDN w:val="off"/>
        <w:spacing w:before="0" w:after="0" w:line="578" w:lineRule="exact"/>
        <w:ind w:left="120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2020年12月31日</w:t>
      </w:r>
    </w:p>
    <w:p>
      <w:pPr>
        <w:pStyle w:val="Normal"/>
        <w:framePr w:w="3038" w:x="2441" w:y="12789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（此件公开发布）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072" w:x="3312" w:y="1488"/>
        <w:widowControl w:val="off"/>
        <w:autoSpaceDE w:val="off"/>
        <w:autoSpaceDN w:val="off"/>
        <w:spacing w:before="0" w:after="0" w:line="523" w:lineRule="exact"/>
        <w:ind w:left="0" w:right="0" w:first-line="0"/>
        <w:jc w:val="left"/>
        <w:rPr>
          <w:rFonts w:ascii="KOVCAQ+FZXBSJW--GB1-0" w:hAnsi="KOVCAQ+FZXBSJW--GB1-0" w:cs="KOVCAQ+FZXBSJW--GB1-0"/>
          <w:color w:val="000000"/>
          <w:spacing w:val="0"/>
          <w:sz w:val="44"/>
        </w:rPr>
      </w:pPr>
      <w:r>
        <w:rPr>
          <w:rFonts w:ascii="KOVCAQ+FZXBSJW--GB1-0" w:hAnsi="KOVCAQ+FZXBSJW--GB1-0" w:cs="KOVCAQ+FZXBSJW--GB1-0"/>
          <w:color w:val="000000"/>
          <w:spacing w:val="0"/>
          <w:sz w:val="44"/>
        </w:rPr>
        <w:t>关于支持新型研发机构建设</w:t>
      </w:r>
    </w:p>
    <w:p>
      <w:pPr>
        <w:pStyle w:val="Normal"/>
        <w:framePr w:w="6072" w:x="3312" w:y="1488"/>
        <w:widowControl w:val="off"/>
        <w:autoSpaceDE w:val="off"/>
        <w:autoSpaceDN w:val="off"/>
        <w:spacing w:before="0" w:after="0" w:line="581" w:lineRule="exact"/>
        <w:ind w:left="1102" w:right="0" w:first-line="0"/>
        <w:jc w:val="left"/>
        <w:rPr>
          <w:rFonts w:ascii="KOVCAQ+FZXBSJW--GB1-0" w:hAnsi="KOVCAQ+FZXBSJW--GB1-0" w:cs="KOVCAQ+FZXBSJW--GB1-0"/>
          <w:color w:val="000000"/>
          <w:spacing w:val="0"/>
          <w:sz w:val="44"/>
        </w:rPr>
      </w:pPr>
      <w:r>
        <w:rPr>
          <w:rFonts w:ascii="KOVCAQ+FZXBSJW--GB1-0" w:hAnsi="KOVCAQ+FZXBSJW--GB1-0" w:cs="KOVCAQ+FZXBSJW--GB1-0"/>
          <w:color w:val="000000"/>
          <w:spacing w:val="0"/>
          <w:sz w:val="44"/>
        </w:rPr>
        <w:t>发展的若干措施</w:t>
      </w:r>
    </w:p>
    <w:p>
      <w:pPr>
        <w:pStyle w:val="Normal"/>
        <w:framePr w:w="9552" w:x="1800" w:y="3352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为加快推进我省新型研发机构高质量发展，完善科技创</w:t>
      </w:r>
    </w:p>
    <w:p>
      <w:pPr>
        <w:pStyle w:val="Normal"/>
        <w:framePr w:w="9552" w:x="1800" w:y="33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新体制机制，激发创新活力，提高创新链整体效能，根据科</w:t>
      </w:r>
    </w:p>
    <w:p>
      <w:pPr>
        <w:pStyle w:val="Normal"/>
        <w:framePr w:w="9552" w:x="1800" w:y="33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技部《关于促进新型研发机构发展的指导意见》等规定，制</w:t>
      </w:r>
    </w:p>
    <w:p>
      <w:pPr>
        <w:pStyle w:val="Normal"/>
        <w:framePr w:w="9552" w:x="1800" w:y="335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定如下措施。</w:t>
      </w:r>
    </w:p>
    <w:p>
      <w:pPr>
        <w:pStyle w:val="Normal"/>
        <w:framePr w:w="9552" w:x="1800" w:y="5673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1.新型研发机构在申报省或市级财政科技计划、人才引</w:t>
      </w:r>
    </w:p>
    <w:p>
      <w:pPr>
        <w:pStyle w:val="Normal"/>
        <w:framePr w:w="9552" w:x="1800" w:y="5673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进、创新载体建设、科技成果转化收入分配等方面，可同等</w:t>
      </w:r>
    </w:p>
    <w:p>
      <w:pPr>
        <w:pStyle w:val="Normal"/>
        <w:framePr w:w="9552" w:x="1800" w:y="5673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享受高校、科研院所、企业的资格待遇和扶持政策；新型研</w:t>
      </w:r>
    </w:p>
    <w:p>
      <w:pPr>
        <w:pStyle w:val="Normal"/>
        <w:framePr w:w="9552" w:x="1800" w:y="5673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发机构可按规定享受研发费用税前加计扣除、科技成果转化</w:t>
      </w:r>
    </w:p>
    <w:p>
      <w:pPr>
        <w:pStyle w:val="Normal"/>
        <w:framePr w:w="9552" w:x="1800" w:y="5673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等相关政策，经认定为高新技术企业的可按规定享受高新技</w:t>
      </w:r>
    </w:p>
    <w:p>
      <w:pPr>
        <w:pStyle w:val="Normal"/>
        <w:framePr w:w="9552" w:x="1800" w:y="5673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术企业税收优惠政策。（责任单位：省科技厅、山东省税务</w:t>
      </w:r>
    </w:p>
    <w:p>
      <w:pPr>
        <w:pStyle w:val="Normal"/>
        <w:framePr w:w="9552" w:x="1800" w:y="5673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局）</w:t>
      </w:r>
    </w:p>
    <w:p>
      <w:pPr>
        <w:pStyle w:val="Normal"/>
        <w:framePr w:w="9552" w:x="1800" w:y="9734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2.对由企业建设的新型研发机构，省级可对上年度发生</w:t>
      </w:r>
    </w:p>
    <w:p>
      <w:pPr>
        <w:pStyle w:val="Normal"/>
        <w:framePr w:w="9552" w:x="1800" w:y="9734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的研究开发投入相应给予补助。已享受其他各级财政研发费</w:t>
      </w:r>
    </w:p>
    <w:p>
      <w:pPr>
        <w:pStyle w:val="Normal"/>
        <w:framePr w:w="9552" w:x="1800" w:y="973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用补助的机构不再重复补助。（责任单位：省科技厅、省财</w:t>
      </w:r>
    </w:p>
    <w:p>
      <w:pPr>
        <w:pStyle w:val="Normal"/>
        <w:framePr w:w="9552" w:x="1800" w:y="973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政厅）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3.新型研发机构凝练提出的重大技术研发项目，经论证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可优先纳入省重大创新工程项目指南。对新型研发机构申请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的科技资金股权投资项目，同等条件下优先投资。（责任单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位：省科技厅、省发展改革委、省工业和信息化厅）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4.对注册为企业的新型研发机构为首台（套）技术装备、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首批次新材料、首版次高端软件等新产品购买的产品质量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734" w:x="1800" w:y="1612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险、责任险及综合险，省财政按实际投保费率不超过3%及不</w:t>
      </w:r>
    </w:p>
    <w:p>
      <w:pPr>
        <w:pStyle w:val="Normal"/>
        <w:framePr w:w="9734" w:x="1800" w:y="16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高于实际投保年度保费的80%的标准对生产企业给予支持，</w:t>
      </w:r>
    </w:p>
    <w:p>
      <w:pPr>
        <w:pStyle w:val="Normal"/>
        <w:framePr w:w="9734" w:x="1800" w:y="16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最高可给予500万元支持。（责任单位：省工业和信息化厅、</w:t>
      </w:r>
    </w:p>
    <w:p>
      <w:pPr>
        <w:pStyle w:val="Normal"/>
        <w:framePr w:w="9734" w:x="1800" w:y="161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省财政厅）</w:t>
      </w:r>
    </w:p>
    <w:p>
      <w:pPr>
        <w:pStyle w:val="Normal"/>
        <w:framePr w:w="9566" w:x="1800" w:y="3933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5.新型研发机构从省外引进的高层次人才符合颁发“山</w:t>
      </w:r>
    </w:p>
    <w:p>
      <w:pPr>
        <w:pStyle w:val="Normal"/>
        <w:framePr w:w="9566" w:x="1800" w:y="3933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东惠才卡”条件的，凭卡享受住房安居、医疗保健、培训提</w:t>
      </w:r>
    </w:p>
    <w:p>
      <w:pPr>
        <w:pStyle w:val="Normal"/>
        <w:framePr w:w="9566" w:x="1800" w:y="3933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升和子女入学等方面的优惠待遇。对其引进的外籍高层次人</w:t>
      </w:r>
    </w:p>
    <w:p>
      <w:pPr>
        <w:pStyle w:val="Normal"/>
        <w:framePr w:w="9566" w:x="1800" w:y="3933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才在办理签证、居留、工作许可等方面开辟“绿色”通道，</w:t>
      </w:r>
    </w:p>
    <w:p>
      <w:pPr>
        <w:pStyle w:val="Normal"/>
        <w:framePr w:w="9566" w:x="1800" w:y="3933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实行“容缺受理”，符合条件的可办理有效期5-10年、多</w:t>
      </w:r>
    </w:p>
    <w:p>
      <w:pPr>
        <w:pStyle w:val="Normal"/>
        <w:framePr w:w="9566" w:x="1800" w:y="3933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次入境人才签证。（责任单位：省委组织部、省人力资源社</w:t>
      </w:r>
    </w:p>
    <w:p>
      <w:pPr>
        <w:pStyle w:val="Normal"/>
        <w:framePr w:w="9566" w:x="1800" w:y="3933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会保障厅）</w:t>
      </w:r>
    </w:p>
    <w:p>
      <w:pPr>
        <w:pStyle w:val="Normal"/>
        <w:framePr w:w="9552" w:x="1800" w:y="7994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6.畅通各类新型研发机构专业技术职务评审通道。做出</w:t>
      </w:r>
    </w:p>
    <w:p>
      <w:pPr>
        <w:pStyle w:val="Normal"/>
        <w:framePr w:w="9552" w:x="1800" w:y="7994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突出贡献、符合条件的高层次人才可享受专业技术职务“直</w:t>
      </w:r>
    </w:p>
    <w:p>
      <w:pPr>
        <w:pStyle w:val="Normal"/>
        <w:framePr w:w="9552" w:x="1800" w:y="799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通车”政策，不受原专业技术职务资格、学历资历、申报条</w:t>
      </w:r>
    </w:p>
    <w:p>
      <w:pPr>
        <w:pStyle w:val="Normal"/>
        <w:framePr w:w="9552" w:x="1800" w:y="799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件等限制，直接申报评审副高级或正高级专业技术职务。专</w:t>
      </w:r>
    </w:p>
    <w:p>
      <w:pPr>
        <w:pStyle w:val="Normal"/>
        <w:framePr w:w="9552" w:x="1800" w:y="7994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业技术职务评审时，将发明专利转化应用情况、技术转让成</w:t>
      </w:r>
    </w:p>
    <w:p>
      <w:pPr>
        <w:pStyle w:val="Normal"/>
        <w:framePr w:w="9552" w:x="1800" w:y="799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交额等作为评价的重要内容。（责任单位：省科技厅、省人</w:t>
      </w:r>
    </w:p>
    <w:p>
      <w:pPr>
        <w:pStyle w:val="Normal"/>
        <w:framePr w:w="9552" w:x="1800" w:y="799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力资源社会保障厅）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7.支持高等院校、科研机构的科技人员及创新团队依法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到新型研发机构兼职开展项目研发、成果转化和创新服务，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兼职期间与原单位在岗人员同等享有参加专业技术职务评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审、项目申报、岗位竞聘、培训、考核、奖励等方面的权利；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获得的职务科技成果转化现金奖励计入当年本单位绩效工</w:t>
      </w:r>
    </w:p>
    <w:p>
      <w:pPr>
        <w:pStyle w:val="Normal"/>
        <w:framePr w:w="9734" w:x="1800" w:y="120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资总量，但不受总量限制，不纳入总量基数；到新型研发机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构开展离岗创业或自主创办新型研发机构的，经人事关系所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在单位批准，3年内保留人事关系，连续计算工龄，并享有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参加专业技术职务评审、社会保险等方面的权利，期满后创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办企业尚未实现盈利的可申请延长1次，延长期限不超过3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年；创业后返回原单位的，聘用至不低于离岗创办企业时原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岗位等级的岗位。鼓励高等院校与新型研发机构建立研究生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联合培养基地。（责任单位：省科技厅、省教育厅、省人力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资源社会保障厅）</w:t>
      </w:r>
    </w:p>
    <w:p>
      <w:pPr>
        <w:pStyle w:val="Normal"/>
        <w:framePr w:w="9734" w:x="1800" w:y="6254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8.新型研发机构进口科研用仪器设备，未享受进口关</w:t>
      </w:r>
    </w:p>
    <w:p>
      <w:pPr>
        <w:pStyle w:val="Normal"/>
        <w:framePr w:w="9734" w:x="1800" w:y="6254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税、进口环节增值税和消费税减免优惠的，由省级财政按照</w:t>
      </w:r>
    </w:p>
    <w:p>
      <w:pPr>
        <w:pStyle w:val="Normal"/>
        <w:framePr w:w="9734" w:x="1800" w:y="625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未享受减免金额的一定比例，每年给予不超过500万元补助。</w:t>
      </w:r>
    </w:p>
    <w:p>
      <w:pPr>
        <w:pStyle w:val="Normal"/>
        <w:framePr w:w="9734" w:x="1800" w:y="625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采用创新券等方式，支持企业向新型研发机构购买研发服</w:t>
      </w:r>
    </w:p>
    <w:p>
      <w:pPr>
        <w:pStyle w:val="Normal"/>
        <w:framePr w:w="9734" w:x="1800" w:y="6254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务。对企业委托新型研发机构进行技术研发所发生的支出，</w:t>
      </w:r>
    </w:p>
    <w:p>
      <w:pPr>
        <w:pStyle w:val="Normal"/>
        <w:framePr w:w="9734" w:x="1800" w:y="625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可按规定享受研究开发费用加计扣除政策。（责任单位：省</w:t>
      </w:r>
    </w:p>
    <w:p>
      <w:pPr>
        <w:pStyle w:val="Normal"/>
        <w:framePr w:w="9734" w:x="1800" w:y="625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科技厅、省财政厅、山东省税务局）</w:t>
      </w:r>
    </w:p>
    <w:p>
      <w:pPr>
        <w:pStyle w:val="Normal"/>
        <w:framePr w:w="9566" w:x="1800" w:y="10312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9.定期开展绩效评价，在支撑和引领我省产业发展、基</w:t>
      </w:r>
    </w:p>
    <w:p>
      <w:pPr>
        <w:pStyle w:val="Normal"/>
        <w:framePr w:w="9566" w:x="1800" w:y="103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础研究及技术创新、高水平研发人才及团队引进培育、科技</w:t>
      </w:r>
    </w:p>
    <w:p>
      <w:pPr>
        <w:pStyle w:val="Normal"/>
        <w:framePr w:w="9566" w:x="1800" w:y="103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成果转化及产业化、企业孵化、创新服务等方面成效突出、</w:t>
      </w:r>
    </w:p>
    <w:p>
      <w:pPr>
        <w:pStyle w:val="Normal"/>
        <w:framePr w:w="9566" w:x="1800" w:y="1031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评价优秀的新型研发机构，最多给予100万元后补助支持；</w:t>
      </w:r>
    </w:p>
    <w:p>
      <w:pPr>
        <w:pStyle w:val="Normal"/>
        <w:framePr w:w="9566" w:x="1800" w:y="103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对成为国家重点实验室、技术创新中心、制造业创新中心、</w:t>
      </w:r>
    </w:p>
    <w:p>
      <w:pPr>
        <w:pStyle w:val="Normal"/>
        <w:framePr w:w="9566" w:x="1800" w:y="103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产业创新中心、临床医学研究中心、工程研究中心等国家重</w:t>
      </w:r>
    </w:p>
    <w:p>
      <w:pPr>
        <w:pStyle w:val="Normal"/>
        <w:framePr w:w="9566" w:x="1800" w:y="1031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大创新基地的新型研发机构，省财政一次性给予最多3000</w:t>
      </w:r>
    </w:p>
    <w:p>
      <w:pPr>
        <w:pStyle w:val="Normal"/>
        <w:framePr w:w="9566" w:x="1800" w:y="103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万元奖励支持。鼓励企业联合高校、科研院所建设面向产业</w:t>
      </w:r>
    </w:p>
    <w:p>
      <w:pPr>
        <w:pStyle w:val="Normal"/>
        <w:framePr w:w="9566" w:x="1800" w:y="103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的新型研发机构，总投资超过5000万元，其中企业投资超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14"/>
        </w:rPr>
      </w:r>
      <w:r>
        <w:rPr>
          <w:rFonts w:ascii="Arial"/>
          <w:color w:val="ff0000"/>
          <w:spacing w:val="0"/>
          <w:sz w:val="14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319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过3000万元的，直接纳入省级科技创新平台管理。（责任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单位：省科技厅、省发展改革委、省工业和信息化厅、省财</w:t>
      </w:r>
    </w:p>
    <w:p>
      <w:pPr>
        <w:pStyle w:val="Normal"/>
        <w:framePr w:w="9552" w:x="1800" w:y="161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政厅）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10.做好新型研发机构项目用地保障。对列入省重大项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目名单的新型研发机构新增用地，纳入省级统筹用地保障。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各市县要统筹新增建设用地指标和存量挖潜指标，做好项目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用地保障工作。符合《划拨用地目录》（国土资源部令第9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号）的，可以划拨供应。（责任单位：省自然资源厅）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81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11.符合国家和省有关规定的非营利性科研机构自用的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房产、土地，免征房产税、城镇土地使用税。按照房产税、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城镇土地使用税条例、细则及相关规定，属于省政府重点扶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持且纳税确有困难的新型研发机构，可向主管税务机关申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请，经批准，可酌情给予减税或免税照顾。（责任单位：山</w:t>
      </w:r>
    </w:p>
    <w:p>
      <w:pPr>
        <w:pStyle w:val="Normal"/>
        <w:framePr w:w="9566" w:x="1800" w:y="3352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东省税务局）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319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12.对新型研发机构发起设立天使基金、创业投资基金、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产业孵化基金等，山东省新旧动能转换基金同等条件下优先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给予参股支持。对投资于新型研发机构衍生且在省内注册企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业的天使类投资，发生投资损失的，按《山东省人民政府办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578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公厅关于进一步推动山东省新旧动能转换基金加快投资的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意见》（鲁政办字〔2019〕119号）尽职免责规定执行。（责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任单位：省科技厅、省财政厅、省地方金融监管局）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578" w:lineRule="exact"/>
        <w:ind w:left="641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13.鼓励各级政府安排资金扶持辖区内初创期新型研发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机构建设发展，初创期一般为5年。（责任单位：省科技厅、</w:t>
      </w:r>
    </w:p>
    <w:p>
      <w:pPr>
        <w:pStyle w:val="Normal"/>
        <w:framePr w:w="9737" w:x="1800" w:y="9734"/>
        <w:widowControl w:val="off"/>
        <w:autoSpaceDE w:val="off"/>
        <w:autoSpaceDN w:val="off"/>
        <w:spacing w:before="0" w:after="0" w:line="581" w:lineRule="exact"/>
        <w:ind w:left="0" w:right="0" w:first-line="0"/>
        <w:jc w:val="left"/>
        <w:rPr>
          <w:rFonts w:ascii="FangSong" w:hAnsi="FangSong" w:cs="FangSong"/>
          <w:color w:val="000000"/>
          <w:spacing w:val="0"/>
          <w:sz w:val="32"/>
        </w:rPr>
      </w:pPr>
      <w:r>
        <w:rPr>
          <w:rFonts w:ascii="FangSong" w:hAnsi="FangSong" w:cs="FangSong"/>
          <w:color w:val="000000"/>
          <w:spacing w:val="0"/>
          <w:sz w:val="32"/>
        </w:rPr>
        <w:t>省财政厅）</w:t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-line="0"/>
        <w:jc w:val="left"/>
        <w:rPr>
          <w:rFonts w:ascii="Arial"/>
          <w:color w:val="ff0000"/>
          <w:spacing w:val="0"/>
          <w:sz w:val="14"/>
        </w:rPr>
      </w:pPr>
      <w:r>
        <w:rPr>
          <w:rFonts w:ascii="Arial"/>
          <w:color w:val="ff0000"/>
          <w:spacing w:val="0"/>
          <w:sz w:val="14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-pitch="1"/>
    </w:sectPr>
  </w:body>
</w:document>
</file>

<file path=word/fontTable.xml><?xml version="1.0" encoding="utf-8"?>
<w:fonts xmlns:w="http://schemas.openxmlformats.org/wordprocessingml/2006/main">
  <w:defaultFonts w:hintType="default" w:ascii="Calibri" w:h-ansi="Calibri" w:fareast="Calibri"/>
  <w:font w:name="Times New Roman">
    <w:panose-1>"02020603050405020304"</w:panose-1>
    <w:charset>
      <w:val>"cc"</w:val>
    </w:charset>
    <w:family>"Roman"</w:family>
    <w:notTrueType w:val="off"/>
    <w:pitch>"variable"</w:pitch>
    <w:sig w:usb0="01010101" w:usb1="01010101" w:usb2="01010101" w:usb3="01010101" w:csb0="01010101" w:csb1="01010101"/>
  </w:font>
  <w:font w:name="Symbol">
    <w:panose-1>"05050102010706020507"</w:panose-1>
    <w:charset>
      <w:val>"02"</w:val>
    </w:charset>
    <w:family>"Roman"</w:family>
    <w:notTrueType w:val="off"/>
    <w:pitch>"variable"</w:pitch>
    <w:sig w:usb0="01010101" w:usb1="01010101" w:usb2="01010101" w:usb3="01010101" w:csb0="01010101" w:csb1="01010101"/>
  </w:font>
  <w:font w:name="Arial">
    <w:panose-1>"020b0604020202020204"</w:panose-1>
    <w:charset>
      <w:val>"cc"</w:val>
    </w:charset>
    <w:family>"Swiss"</w:family>
    <w:notTrueType w:val="off"/>
    <w:pitch>"variable"</w:pitch>
    <w:sig w:usb0="01010101" w:usb1="01010101" w:usb2="01010101" w:usb3="01010101" w:csb0="01010101" w:csb1="01010101"/>
  </w:font>
  <w:font w:name="Calibri">
    <w:panose-1>"020f0502020204030204"</w:panose-1>
    <w:charset>
      <w:val>"cc"</w:val>
    </w:charset>
    <w:family>"Swiss"</w:family>
    <w:notTrueType w:val="off"/>
    <w:pitch>"variable"</w:pitch>
    <w:sig w:usb0="01010101" w:usb1="01010101" w:usb2="01010101" w:usb3="01010101" w:csb0="01010101" w:csb1="01010101"/>
  </w:font>
  <w:font w:name="Cambria Math">
    <w:panose-1>"02040503050406030204"</w:panose-1>
    <w:charset>
      <w:val>"cc"</w:val>
    </w:charset>
    <w:family>"Roman"</w:family>
    <w:notTrueType w:val="off"/>
    <w:pitch>"variable"</w:pitch>
    <w:sig w:usb0="01010101" w:usb1="01010101" w:usb2="01010101" w:usb3="01010101" w:csb0="01010101" w:csb1="01010101"/>
  </w:font>
  <w:font w:name="KOVCAQ+FZXBSJW--GB1-0">
    <w:panose-1>"02000500000000000000"</w:panose-1>
    <w:charset>
      <w:val>"01"</w:val>
    </w:charset>
    <w:family>"Auto"</w:family>
    <w:notTrueType w:val="off"/>
    <w:pitch>"variable"</w:pitch>
    <w:sig w:usb0="01010101" w:usb1="01010101" w:usb2="01010101" w:usb3="01010101" w:csb0="01010101" w:csb1="01010101"/>
    <w:embedRegular xmlns:r="http://schemas.openxmlformats.org/officeDocument/2006/relationships" r:id="rId1" w:fontKey="{e0438eb2-0000-0000-0000-000000000000}"/>
  </w:font>
  <w:font w:name="FangSong">
    <w:panose-1>"00000000000000000000"</w:panose-1>
    <w:charset>
      <w:val>"01"</w:val>
    </w:charset>
    <w:family>"Auto"</w:family>
    <w:notTrueType w:val="on"/>
    <w:pitch>"default"</w:pitch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latentStyle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pStyle w:val="Normal"/>
      <w:spacing w:before="120" w:after="240"/>
      <w:jc w:val="both"/>
    </w:pPr>
    <w:rPr>
      <w:sz w:val="22"/>
      <w:sz-cs w:val="22"/>
      <w:lang w:val="ru-RU" w:fareast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</w:style>
  <w:style w:type="table" w:styleId="TableNormal" w:default="on">
    <w:name w:val="Table Normal"/>
    <w:next w:val="TableNormal"/>
    <w:link w:val="Normal"/>
    <w:semiHidden w:val="on"/>
    <w:pPr>
      <w:pStyle w:val="TableNormal"/>
    </w:pPr>
    <w:tblPr>
      <w:tblInd w:w="0" w:type="dxa"/>
      <w:tblLayout>"Fixed"</w:tblLayout>
      <w:tblCellMar>
        <w:top w:w="0" w:type="dxa"/>
        <w:left w:w="108" w:type="dxa"/>
        <w:bottom w:w="0" w:type="dxa"/>
        <w:right w:w="0" w:type="dxa"/>
      </w:tblCellMar>
    </w:tblPr>
  </w:style>
  <w:style w:type="list" w:styleId="NoList" w:default="on">
    <w:name w:val="No List"/>
    <w:next w:val="NoList"/>
    <w:link w:val="Normal"/>
    <w:semiHidden w:val="on"/>
    <w:pPr>
      <w:pStyle w:val="NoLi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fontTable" Target="fontTable.xml" /><Relationship Id="rId3" Type="http://schemas.openxmlformats.org/officeDocument/2006/relationships/settings" Target="settings.xml" /><Relationship Id="rId4" Type="http://schemas.openxmlformats.org/officeDocument/2006/relationships/webSettings" Target="webSetting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/Relationships>
</file>

<file path=docProps/app.xml><?xml version="1.0" encoding="utf-8"?>
<Properties xmlns="http://schemas.openxmlformats.org/officeDocument/2006/extended-properties">
  <Template>Normal</Template>
  <TotalTime>3</TotalTime>
  <Pages>5</Pages>
  <Words>113</Words>
  <Characters>2411</Characters>
  <Application>Aspose</Application>
  <DocSecurity>0</DocSecurity>
  <Lines>113</Lines>
  <Paragraphs>113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2411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SYSTEM</dc:creator>
  <lastModifiedBy>SYSTEM</lastModifiedBy>
  <revision>1</revision>
  <dcterms:created xmlns:xsi="http://www.w3.org/2001/XMLSchema-instance" xmlns:dcterms="http://purl.org/dc/terms/" xsi:type="dcterms:W3CDTF">2021-05-06T15:52:43+08:00</dcterms:created>
  <dcterms:modified xmlns:xsi="http://www.w3.org/2001/XMLSchema-instance" xmlns:dcterms="http://purl.org/dc/terms/" xsi:type="dcterms:W3CDTF">2021-05-06T15:52:43+08:00</dcterms:modified>
</coreProperties>
</file>