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295" w:x="4578" w:y="12186"/>
        <w:widowControl w:val="off"/>
        <w:autoSpaceDE w:val="off"/>
        <w:autoSpaceDN w:val="off"/>
        <w:spacing w:before="0" w:after="0" w:line="353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鲁科字〔</w:t>
      </w:r>
      <w:r>
        <w:rPr>
          <w:rFonts w:ascii="Times New Roman"/>
          <w:color w:val="000000"/>
          <w:spacing w:val="0"/>
          <w:sz w:val="32"/>
        </w:rPr>
        <w:t>2021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〕</w:t>
      </w:r>
      <w:r>
        <w:rPr>
          <w:rFonts w:ascii="Times New Roman"/>
          <w:color w:val="000000"/>
          <w:spacing w:val="0"/>
          <w:sz w:val="32"/>
        </w:rPr>
        <w:t>15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号</w:t>
      </w:r>
    </w:p>
    <w:p>
      <w:pPr>
        <w:pStyle w:val="Normal"/>
        <w:framePr w:w="4782" w:x="1467" w:y="14673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省直有关部门、各有关单位：</w:t>
      </w:r>
    </w:p>
    <w:p>
      <w:pPr>
        <w:pStyle w:val="Normal"/>
        <w:framePr w:w="1402" w:x="9482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1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73.35pt;margin-top:115pt;z-index:-3;width:493.8pt;height:449.1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78.15pt;margin-top:661.2pt;z-index:-7;width:462.25pt;height:25.1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210.15pt;margin-top:693.25pt;z-index:-11;width:198.05pt;height:25.1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69.05pt;margin-top:637.4pt;z-index:-15;width:450.7pt;height:1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601" w:x="2256" w:y="250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现将《关于进一步提高全社会研发投入的若干措施》印发给</w:t>
      </w:r>
    </w:p>
    <w:p>
      <w:pPr>
        <w:pStyle w:val="Normal"/>
        <w:framePr w:w="4782" w:x="1616" w:y="307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你们，请结合实际抓好落实。</w:t>
      </w:r>
    </w:p>
    <w:p>
      <w:pPr>
        <w:pStyle w:val="Normal"/>
        <w:framePr w:w="800" w:x="1616" w:y="3645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KIDIOO+·ÂËÎ_GB2312"/>
          <w:color w:val="000000"/>
          <w:spacing w:val="0"/>
          <w:sz w:val="32"/>
        </w:rPr>
      </w:pPr>
      <w:r>
        <w:rPr>
          <w:rFonts w:ascii="KIDIOO+·ÂËÎ_GB2312"/>
          <w:color w:val="000000"/>
          <w:spacing w:val="0"/>
          <w:sz w:val="32"/>
        </w:rPr>
        <w:t xml:space="preserve">  </w:t>
      </w:r>
    </w:p>
    <w:p>
      <w:pPr>
        <w:pStyle w:val="Normal"/>
        <w:framePr w:w="9752" w:x="1776" w:y="4786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山东省科学技术厅</w:t>
      </w:r>
      <w:r>
        <w:rPr>
          <w:rFonts w:ascii="KIDIOO+·ÂËÎ_GB2312"/>
          <w:color w:val="000000"/>
          <w:spacing w:val="0"/>
          <w:sz w:val="32"/>
        </w:rPr>
        <w:t xml:space="preserve">  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山东省发展和</w:t>
      </w:r>
      <w:r>
        <w:rPr>
          <w:rFonts w:ascii="KIDIOO+·ÂËÎ_GB2312"/>
          <w:color w:val="000000"/>
          <w:spacing w:val="0"/>
          <w:sz w:val="32"/>
        </w:rPr>
        <w:t xml:space="preserve">   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山东省教育厅</w:t>
      </w:r>
    </w:p>
    <w:p>
      <w:pPr>
        <w:pStyle w:val="Normal"/>
        <w:framePr w:w="2081" w:x="5456" w:y="5345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改革委员会</w:t>
      </w:r>
    </w:p>
    <w:p>
      <w:pPr>
        <w:pStyle w:val="Normal"/>
        <w:framePr w:w="10119" w:x="1616" w:y="754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山东省工业和信息化厅</w:t>
      </w:r>
      <w:r>
        <w:rPr>
          <w:rFonts w:ascii="KIDIOO+·ÂËÎ_GB2312"/>
          <w:color w:val="000000"/>
          <w:spacing w:val="0"/>
          <w:sz w:val="32"/>
        </w:rPr>
        <w:t xml:space="preserve">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山东省财政厅</w:t>
      </w:r>
      <w:r>
        <w:rPr>
          <w:rFonts w:ascii="KIDIOO+·ÂËÎ_GB2312"/>
          <w:color w:val="000000"/>
          <w:spacing w:val="0"/>
          <w:sz w:val="32"/>
        </w:rPr>
        <w:t xml:space="preserve">   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山东省商务厅</w:t>
      </w:r>
    </w:p>
    <w:p>
      <w:pPr>
        <w:pStyle w:val="Normal"/>
        <w:framePr w:w="10119" w:x="1776" w:y="10373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山东省人民政府国有</w:t>
      </w:r>
      <w:r>
        <w:rPr>
          <w:rFonts w:ascii="KIDIOO+·ÂËÎ_GB2312"/>
          <w:color w:val="000000"/>
          <w:spacing w:val="0"/>
          <w:sz w:val="32"/>
        </w:rPr>
        <w:t xml:space="preserve"> 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山东省统计局</w:t>
      </w:r>
      <w:r>
        <w:rPr>
          <w:rFonts w:ascii="KIDIOO+·ÂËÎ_GB2312"/>
          <w:color w:val="000000"/>
          <w:spacing w:val="0"/>
          <w:sz w:val="32"/>
        </w:rPr>
        <w:t xml:space="preserve">  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山东省地方金融</w:t>
      </w:r>
    </w:p>
    <w:p>
      <w:pPr>
        <w:pStyle w:val="Normal"/>
        <w:framePr w:w="10119" w:x="1776" w:y="10373"/>
        <w:widowControl w:val="off"/>
        <w:autoSpaceDE w:val="off"/>
        <w:autoSpaceDN w:val="off"/>
        <w:spacing w:before="0" w:after="0" w:line="54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资产监督管理委员会</w:t>
      </w:r>
      <w:r>
        <w:rPr>
          <w:rFonts w:ascii="KIDIOO+·ÂËÎ_GB2312"/>
          <w:color w:val="000000"/>
          <w:spacing w:val="0"/>
          <w:sz w:val="32"/>
        </w:rPr>
        <w:t xml:space="preserve">                         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监督管理局</w:t>
      </w:r>
    </w:p>
    <w:p>
      <w:pPr>
        <w:pStyle w:val="Normal"/>
        <w:framePr w:w="2879" w:x="8308" w:y="12733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KIDIOO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国家税务总局</w:t>
      </w:r>
      <w:r>
        <w:rPr>
          <w:rFonts w:ascii="KIDIOO+·ÂËÎ_GB2312"/>
          <w:color w:val="000000"/>
          <w:spacing w:val="0"/>
          <w:sz w:val="32"/>
        </w:rPr>
        <w:t xml:space="preserve">   </w:t>
      </w:r>
    </w:p>
    <w:p>
      <w:pPr>
        <w:pStyle w:val="Normal"/>
        <w:framePr w:w="2879" w:x="8308" w:y="12733"/>
        <w:widowControl w:val="off"/>
        <w:autoSpaceDE w:val="off"/>
        <w:autoSpaceDN w:val="off"/>
        <w:spacing w:before="0" w:after="0" w:line="521" w:lineRule="exact"/>
        <w:ind w:left="0" w:right="0" w:first-line="0"/>
        <w:jc w:val="left"/>
        <w:rPr>
          <w:rFonts w:ascii="KIDIOO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山东省税务局</w:t>
      </w:r>
      <w:r>
        <w:rPr>
          <w:rFonts w:ascii="KIDIOO+·ÂËÎ_GB2312"/>
          <w:color w:val="000000"/>
          <w:spacing w:val="0"/>
          <w:sz w:val="32"/>
        </w:rPr>
        <w:t xml:space="preserve">   </w:t>
      </w:r>
    </w:p>
    <w:p>
      <w:pPr>
        <w:pStyle w:val="Normal"/>
        <w:framePr w:w="9413" w:x="2256" w:y="13763"/>
        <w:widowControl w:val="off"/>
        <w:autoSpaceDE w:val="off"/>
        <w:autoSpaceDN w:val="off"/>
        <w:spacing w:before="0" w:after="0" w:line="353" w:lineRule="exact"/>
        <w:ind w:left="1385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KIDIOO+·ÂËÎ_GB2312"/>
          <w:color w:val="000000"/>
          <w:spacing w:val="0"/>
          <w:sz w:val="32"/>
        </w:rPr>
        <w:t xml:space="preserve">                            </w:t>
      </w:r>
      <w:r>
        <w:rPr>
          <w:rFonts w:ascii="Times New Roman"/>
          <w:color w:val="000000"/>
          <w:spacing w:val="0"/>
          <w:sz w:val="32"/>
        </w:rPr>
        <w:t>2021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年  </w:t>
      </w:r>
      <w:r>
        <w:rPr>
          <w:rFonts w:ascii="Times New Roman"/>
          <w:color w:val="000000"/>
          <w:spacing w:val="0"/>
          <w:sz w:val="32"/>
        </w:rPr>
        <w:t>2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月  </w:t>
      </w:r>
      <w:r>
        <w:rPr>
          <w:rFonts w:ascii="Times New Roman"/>
          <w:color w:val="000000"/>
          <w:spacing w:val="0"/>
          <w:sz w:val="32"/>
        </w:rPr>
        <w:t>7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日</w:t>
      </w:r>
    </w:p>
    <w:p>
      <w:pPr>
        <w:pStyle w:val="Normal"/>
        <w:framePr w:w="9413" w:x="2256" w:y="13763"/>
        <w:widowControl w:val="off"/>
        <w:autoSpaceDE w:val="off"/>
        <w:autoSpaceDN w:val="off"/>
        <w:spacing w:before="0" w:after="0" w:line="506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（此件主动公开）</w:t>
      </w:r>
    </w:p>
    <w:p>
      <w:pPr>
        <w:pStyle w:val="Normal"/>
        <w:framePr w:w="1402" w:x="1616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2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" style="position:absolute;margin-left:91.8pt;margin-top:180.25pt;z-index:-19;width:121.9pt;height:120.95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noProof w:val="on"/>
        </w:rPr>
        <w:pict>
          <v:shape xmlns:v="urn:schemas-microsoft-com:vml" id="_x00005" style="position:absolute;margin-left:252.95pt;margin-top:320.05pt;z-index:-23;width:124.9pt;height:123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noProof w:val="on"/>
        </w:rPr>
        <w:pict>
          <v:shape xmlns:v="urn:schemas-microsoft-com:vml" id="_x00006" style="position:absolute;margin-left:396.25pt;margin-top:173.65pt;z-index:-27;width:137.75pt;height:140.4pt;mso-position-horizontal:absolute;mso-position-horizontal-relative:page;mso-position-vertical:absolute;mso-position-vertical-relative:page" type="#_x0000_t75">
            <v:imageData xmlns:r="http://schemas.openxmlformats.org/officeDocument/2006/relationships" r:id="rId7"/>
          </v:shape>
        </w:pict>
      </w:r>
      <w:r>
        <w:rPr>
          <w:noProof w:val="on"/>
        </w:rPr>
        <w:pict>
          <v:shape xmlns:v="urn:schemas-microsoft-com:vml" id="_x00007" style="position:absolute;margin-left:96.85pt;margin-top:452.9pt;z-index:-31;width:126.25pt;height:126.85pt;mso-position-horizontal:absolute;mso-position-horizontal-relative:page;mso-position-vertical:absolute;mso-position-vertical-relative:page" type="#_x0000_t75">
            <v:imageData xmlns:r="http://schemas.openxmlformats.org/officeDocument/2006/relationships" r:id="rId8"/>
          </v:shape>
        </w:pict>
      </w:r>
      <w:r>
        <w:rPr>
          <w:noProof w:val="on"/>
        </w:rPr>
        <w:pict>
          <v:shape xmlns:v="urn:schemas-microsoft-com:vml" id="_x00008" style="position:absolute;margin-left:245.65pt;margin-top:178.1pt;z-index:-35;width:125.05pt;height:125.65pt;mso-position-horizontal:absolute;mso-position-horizontal-relative:page;mso-position-vertical:absolute;mso-position-vertical-relative:page" type="#_x0000_t75">
            <v:imageData xmlns:r="http://schemas.openxmlformats.org/officeDocument/2006/relationships" r:id="rId9"/>
          </v:shape>
        </w:pict>
      </w:r>
      <w:r>
        <w:rPr>
          <w:noProof w:val="on"/>
        </w:rPr>
        <w:pict>
          <v:shape xmlns:v="urn:schemas-microsoft-com:vml" id="_x00009" style="position:absolute;margin-left:89.15pt;margin-top:313.2pt;z-index:-39;width:133.2pt;height:135.85pt;mso-position-horizontal:absolute;mso-position-horizontal-relative:page;mso-position-vertical:absolute;mso-position-vertical-relative:page" type="#_x0000_t75">
            <v:imageData xmlns:r="http://schemas.openxmlformats.org/officeDocument/2006/relationships" r:id="rId10"/>
          </v:shape>
        </w:pict>
      </w:r>
      <w:r>
        <w:rPr>
          <w:noProof w:val="on"/>
        </w:rPr>
        <w:pict>
          <v:shape xmlns:v="urn:schemas-microsoft-com:vml" id="_x000010" style="position:absolute;margin-left:399.25pt;margin-top:590.2pt;z-index:-43;width:130.45pt;height:129.7pt;mso-position-horizontal:absolute;mso-position-horizontal-relative:page;mso-position-vertical:absolute;mso-position-vertical-relative:page" type="#_x0000_t75">
            <v:imageData xmlns:r="http://schemas.openxmlformats.org/officeDocument/2006/relationships" r:id="rId11"/>
          </v:shape>
        </w:pict>
      </w:r>
      <w:r>
        <w:rPr>
          <w:noProof w:val="on"/>
        </w:rPr>
        <w:pict>
          <v:shape xmlns:v="urn:schemas-microsoft-com:vml" id="_x000011" style="position:absolute;margin-left:401.3pt;margin-top:317.65pt;z-index:-47;width:127.55pt;height:128.75pt;mso-position-horizontal:absolute;mso-position-horizontal-relative:page;mso-position-vertical:absolute;mso-position-vertical-relative:page" type="#_x0000_t75">
            <v:imageData xmlns:r="http://schemas.openxmlformats.org/officeDocument/2006/relationships" r:id="rId12"/>
          </v:shape>
        </w:pict>
      </w:r>
      <w:r>
        <w:rPr>
          <w:noProof w:val="on"/>
        </w:rPr>
        <w:pict>
          <v:shape xmlns:v="urn:schemas-microsoft-com:vml" id="_x000012" style="position:absolute;margin-left:256.8pt;margin-top:457.45pt;z-index:-51;width:124.7pt;height:122.75pt;mso-position-horizontal:absolute;mso-position-horizontal-relative:page;mso-position-vertical:absolute;mso-position-vertical-relative:page" type="#_x0000_t75">
            <v:imageData xmlns:r="http://schemas.openxmlformats.org/officeDocument/2006/relationships" r:id="rId13"/>
          </v:shape>
        </w:pict>
      </w:r>
      <w:r>
        <w:rPr>
          <w:noProof w:val="on"/>
        </w:rPr>
        <w:pict>
          <v:shape xmlns:v="urn:schemas-microsoft-com:vml" id="_x000013" style="position:absolute;margin-left:409.8pt;margin-top:458.9pt;z-index:-55;width:121.7pt;height:122.3pt;mso-position-horizontal:absolute;mso-position-horizontal-relative:page;mso-position-vertical:absolute;mso-position-vertical-relative:page" type="#_x0000_t75">
            <v:imageData xmlns:r="http://schemas.openxmlformats.org/officeDocument/2006/relationships" r:id="rId14"/>
          </v:shape>
        </w:pict>
      </w: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526" w:x="1467" w:y="3979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为深入贯彻党的十九届五中全会和省委十一届十二次全会精</w:t>
      </w:r>
    </w:p>
    <w:p>
      <w:pPr>
        <w:pStyle w:val="Normal"/>
        <w:framePr w:w="10526" w:x="1467" w:y="3979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神，切实提高全社会研发投入水平，加快建设高水平创新型省份，</w:t>
      </w:r>
    </w:p>
    <w:p>
      <w:pPr>
        <w:pStyle w:val="Normal"/>
        <w:framePr w:w="10526" w:x="1467" w:y="3979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结合我省实际，制定如下措施：</w:t>
      </w:r>
    </w:p>
    <w:p>
      <w:pPr>
        <w:pStyle w:val="Normal"/>
        <w:framePr w:w="5149" w:x="2098" w:y="571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VCJJDO+ºÚÌå" w:hAnsi="VCJJDO+ºÚÌå" w:cs="VCJJDO+ºÚÌå"/>
          <w:color w:val="000000"/>
          <w:spacing w:val="0"/>
          <w:sz w:val="32"/>
        </w:rPr>
      </w:pPr>
      <w:r>
        <w:rPr>
          <w:rFonts w:ascii="VCJJDO+ºÚÌå" w:hAnsi="VCJJDO+ºÚÌå" w:cs="VCJJDO+ºÚÌå"/>
          <w:color w:val="000000"/>
          <w:spacing w:val="0"/>
          <w:sz w:val="32"/>
        </w:rPr>
        <w:t>一、强化企业研发投入主体地位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鼓励企业加大研发投入。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完善企业研究开发财政补助制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度，引导企业持续加大研发投入。对年销售收入 </w:t>
      </w:r>
      <w:r>
        <w:rPr>
          <w:rFonts w:ascii="Times New Roman"/>
          <w:color w:val="000000"/>
          <w:spacing w:val="0"/>
          <w:sz w:val="32"/>
        </w:rPr>
        <w:t>2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亿元以上且当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年研发投入占销售收入 </w:t>
      </w:r>
      <w:r>
        <w:rPr>
          <w:rFonts w:ascii="Times New Roman"/>
          <w:color w:val="000000"/>
          <w:spacing w:val="0"/>
          <w:sz w:val="32"/>
        </w:rPr>
        <w:t>4%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（含）以上的科技型企业，可按其较上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年度新增享受研发费用加计扣除费用部分的最高 </w:t>
      </w:r>
      <w:r>
        <w:rPr>
          <w:rFonts w:ascii="Times New Roman"/>
          <w:color w:val="000000"/>
          <w:spacing w:val="0"/>
          <w:sz w:val="32"/>
        </w:rPr>
        <w:t>6%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给予补助。对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年销售收入 </w:t>
      </w:r>
      <w:r>
        <w:rPr>
          <w:rFonts w:ascii="Times New Roman"/>
          <w:color w:val="000000"/>
          <w:spacing w:val="0"/>
          <w:sz w:val="32"/>
        </w:rPr>
        <w:t>2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亿元（含）以下且当年研发投入占销售收入  </w:t>
      </w:r>
      <w:r>
        <w:rPr>
          <w:rFonts w:ascii="Times New Roman"/>
          <w:color w:val="000000"/>
          <w:spacing w:val="0"/>
          <w:sz w:val="32"/>
        </w:rPr>
        <w:t>6%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（含）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以上的科技型企业，可按其当年享受研发费用加计扣除费用总额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的最高 </w:t>
      </w:r>
      <w:r>
        <w:rPr>
          <w:rFonts w:ascii="Times New Roman"/>
          <w:color w:val="000000"/>
          <w:spacing w:val="0"/>
          <w:sz w:val="32"/>
        </w:rPr>
        <w:t>6%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给予补助。单个企业年度最高补助 </w:t>
      </w:r>
      <w:r>
        <w:rPr>
          <w:rFonts w:ascii="Times New Roman"/>
          <w:color w:val="000000"/>
          <w:spacing w:val="0"/>
          <w:sz w:val="32"/>
        </w:rPr>
        <w:t>600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万元。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</w:t>
      </w:r>
    </w:p>
    <w:p>
      <w:pPr>
        <w:pStyle w:val="Normal"/>
        <w:framePr w:w="10528" w:x="1467" w:y="6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位：省科技厅、省财政厅、省税务局）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2.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推动规模以上工业企业建立研发机构、开展研发活动。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大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力开展工业企业（包括外资企业）重点实验室、技术创新中心、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工程研究中心、企业技术中心、“一企一技术”研发中心、新型研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发机构等培育工作，推动工业企业不断提高研发经费投入强度。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规模以上工业企业申报省级科技计划项目、省级创新平台、省级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科技人才项目，应建有研发机构，开展研发活动，在项目完成时</w:t>
      </w:r>
    </w:p>
    <w:p>
      <w:pPr>
        <w:pStyle w:val="Normal"/>
        <w:framePr w:w="10346" w:x="1467" w:y="109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研发投入强度应高于全省平均水平。</w:t>
      </w:r>
      <w:r>
        <w:rPr>
          <w:rFonts w:ascii="Times New Roman"/>
          <w:color w:val="000000"/>
          <w:spacing w:val="0"/>
          <w:sz w:val="32"/>
        </w:rPr>
        <w:t>2022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年规模以上工业企业中</w:t>
      </w:r>
    </w:p>
    <w:p>
      <w:pPr>
        <w:pStyle w:val="Normal"/>
        <w:framePr w:w="1402" w:x="9482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3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4" style="position:absolute;margin-left:89.2pt;margin-top:140.05pt;z-index:-59;width:440.15pt;height:25.1pt;mso-position-horizontal:absolute;mso-position-horizontal-relative:page;mso-position-vertical:absolute;mso-position-vertical-relative:page" type="#_x0000_t75">
            <v:imageData xmlns:r="http://schemas.openxmlformats.org/officeDocument/2006/relationships" r:id="rId15"/>
          </v:shape>
        </w:pict>
      </w: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80" w:x="1616" w:y="2490"/>
        <w:widowControl w:val="off"/>
        <w:autoSpaceDE w:val="off"/>
        <w:autoSpaceDN w:val="off"/>
        <w:spacing w:before="0" w:after="0" w:line="353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有研发活动的占比达到 </w:t>
      </w:r>
      <w:r>
        <w:rPr>
          <w:rFonts w:ascii="Times New Roman"/>
          <w:color w:val="000000"/>
          <w:spacing w:val="0"/>
          <w:sz w:val="32"/>
        </w:rPr>
        <w:t>35%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左右，规模以上工业企业中有研发机</w:t>
      </w:r>
    </w:p>
    <w:p>
      <w:pPr>
        <w:pStyle w:val="Normal"/>
        <w:framePr w:w="10480" w:x="1616" w:y="24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构的占比达到 </w:t>
      </w:r>
      <w:r>
        <w:rPr>
          <w:rFonts w:ascii="Times New Roman"/>
          <w:color w:val="000000"/>
          <w:spacing w:val="0"/>
          <w:sz w:val="32"/>
        </w:rPr>
        <w:t>20%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以上。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（责任单位：省科技厅、省发改委、省工</w:t>
      </w:r>
    </w:p>
    <w:p>
      <w:pPr>
        <w:pStyle w:val="Normal"/>
        <w:framePr w:w="10480" w:x="1616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业和信息化厅</w:t>
      </w:r>
      <w:r>
        <w:rPr>
          <w:rFonts w:ascii="MGBOGA+ËÎÌå" w:hAnsi="MGBOGA+ËÎÌå" w:cs="MGBOGA+ËÎÌå"/>
          <w:color w:val="000000"/>
          <w:spacing w:val="0"/>
          <w:sz w:val="32"/>
        </w:rPr>
        <w:t>）</w:t>
      </w:r>
    </w:p>
    <w:p>
      <w:pPr>
        <w:pStyle w:val="Normal"/>
        <w:framePr w:w="10559" w:x="1616" w:y="423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3.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壮大规模以上企业群体。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按  </w:t>
      </w:r>
      <w:r>
        <w:rPr>
          <w:rFonts w:ascii="Times New Roman"/>
          <w:color w:val="000000"/>
          <w:spacing w:val="0"/>
          <w:sz w:val="32"/>
        </w:rPr>
        <w:t>1.2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倍比例调整补充全省“小</w:t>
      </w:r>
    </w:p>
    <w:p>
      <w:pPr>
        <w:pStyle w:val="Normal"/>
        <w:framePr w:w="10559" w:x="1616" w:y="4230"/>
        <w:widowControl w:val="off"/>
        <w:autoSpaceDE w:val="off"/>
        <w:autoSpaceDN w:val="off"/>
        <w:spacing w:before="0" w:after="0" w:line="57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升规”重点企业培育库，实施激励引导、融资支持、“一对一”精</w:t>
      </w:r>
    </w:p>
    <w:p>
      <w:pPr>
        <w:pStyle w:val="Normal"/>
        <w:framePr w:w="10559" w:x="1616" w:y="4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准服务，推动企业规范化公司制改制，力争每年 </w:t>
      </w:r>
      <w:r>
        <w:rPr>
          <w:rFonts w:ascii="Times New Roman"/>
          <w:color w:val="000000"/>
          <w:spacing w:val="0"/>
          <w:sz w:val="32"/>
        </w:rPr>
        <w:t>4000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家企业升规</w:t>
      </w:r>
    </w:p>
    <w:p>
      <w:pPr>
        <w:pStyle w:val="Normal"/>
        <w:framePr w:w="10559" w:x="1616" w:y="42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纳统。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（责任单位：省工业和信息化厅、省统计局、省地方金融监</w:t>
      </w:r>
    </w:p>
    <w:p>
      <w:pPr>
        <w:pStyle w:val="Normal"/>
        <w:framePr w:w="10559" w:x="1616" w:y="42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管局）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4.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优化规模以上企业群体结构。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将符合条件的规模以上企业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纳入高新技术企业培育库给予重点培育，为其提供选派特派员、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政策辅导、高层次人才引进、科技金融等方面的精准服务，大幅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提高规模以上企业中高新技术企业占比。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（责任单位：省科技厅）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5.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鼓励国有企业提高研发投入。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建立国有企业研发投入刚性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增长机制，到 </w:t>
      </w:r>
      <w:r>
        <w:rPr>
          <w:rFonts w:ascii="Times New Roman"/>
          <w:color w:val="000000"/>
          <w:spacing w:val="0"/>
          <w:sz w:val="32"/>
        </w:rPr>
        <w:t>2022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年国有企业研发投入年均增长不低于  </w:t>
      </w:r>
      <w:r>
        <w:rPr>
          <w:rFonts w:ascii="Times New Roman"/>
          <w:color w:val="000000"/>
          <w:spacing w:val="0"/>
          <w:sz w:val="32"/>
        </w:rPr>
        <w:t>10%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。建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立健全省属重点工业企业科技投入通报制度。落实和完善国有企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业研发投入视同利润的考核措施。鼓励国有企业建立创新平台，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实现国有规模以上工业企业研发机构全覆盖。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（责任单位：省国资</w:t>
      </w:r>
    </w:p>
    <w:p>
      <w:pPr>
        <w:pStyle w:val="Normal"/>
        <w:framePr w:w="10670" w:x="1616" w:y="71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委、省科技厅）</w:t>
      </w:r>
    </w:p>
    <w:p>
      <w:pPr>
        <w:pStyle w:val="Normal"/>
        <w:framePr w:w="10348" w:x="1616" w:y="12932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6.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加强政策落实和跟踪服务。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按规定落实高新技术企业税收</w:t>
      </w:r>
    </w:p>
    <w:p>
      <w:pPr>
        <w:pStyle w:val="Normal"/>
        <w:framePr w:w="10348" w:x="1616" w:y="1293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优惠、企业研究开发费用税前加计扣除等促进企业技术创新的税</w:t>
      </w:r>
    </w:p>
    <w:p>
      <w:pPr>
        <w:pStyle w:val="Normal"/>
        <w:framePr w:w="10348" w:x="1616" w:y="1293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收支持政策。对研发支出强度大的企业，实行“一对一”跟踪服</w:t>
      </w:r>
    </w:p>
    <w:p>
      <w:pPr>
        <w:pStyle w:val="Normal"/>
        <w:framePr w:w="1402" w:x="1616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4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558" w:x="1467" w:y="250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务；对无研发经费支出或强度较低的规模以上企业，开展点对点</w:t>
      </w:r>
    </w:p>
    <w:p>
      <w:pPr>
        <w:pStyle w:val="Normal"/>
        <w:framePr w:w="10558" w:x="1467" w:y="250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指导；对高新技术企业、高新技术企业培育库入库企业等，开展</w:t>
      </w:r>
    </w:p>
    <w:p>
      <w:pPr>
        <w:pStyle w:val="Normal"/>
        <w:framePr w:w="10558" w:x="1467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重点服务，加速提质升级。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（责任单位：省科技厅、省财政厅、省</w:t>
      </w:r>
    </w:p>
    <w:p>
      <w:pPr>
        <w:pStyle w:val="Normal"/>
        <w:framePr w:w="10558" w:x="1467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税务局）</w:t>
      </w:r>
    </w:p>
    <w:p>
      <w:pPr>
        <w:pStyle w:val="Normal"/>
        <w:framePr w:w="6253" w:x="2108" w:y="481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VCJJDO+ºÚÌå" w:hAnsi="VCJJDO+ºÚÌå" w:cs="VCJJDO+ºÚÌå"/>
          <w:color w:val="000000"/>
          <w:spacing w:val="0"/>
          <w:sz w:val="32"/>
        </w:rPr>
      </w:pPr>
      <w:r>
        <w:rPr>
          <w:rFonts w:ascii="VCJJDO+ºÚÌå" w:hAnsi="VCJJDO+ºÚÌå" w:cs="VCJJDO+ºÚÌå"/>
          <w:color w:val="000000"/>
          <w:spacing w:val="0"/>
          <w:sz w:val="32"/>
        </w:rPr>
        <w:t>二、稳定高等院校、科研院所研发投入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7.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鼓励高等院校、科研院所加大研发投入。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把高等院校、科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研院所的研发投入、创新绩效等作为“双一流”建设高校、重点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建设大学、省属科研院所创新资源配置、绩效考核评价等工作的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Times New Roman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重要指标。鼓励高等院校、科研院所加强基础研究投入，到 </w:t>
      </w:r>
      <w:r>
        <w:rPr>
          <w:rFonts w:ascii="Times New Roman"/>
          <w:color w:val="000000"/>
          <w:spacing w:val="0"/>
          <w:sz w:val="32"/>
        </w:rPr>
        <w:t xml:space="preserve"> 2022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年，高等院校、科研院所 </w:t>
      </w:r>
      <w:r>
        <w:rPr>
          <w:rFonts w:ascii="Times New Roman"/>
          <w:color w:val="000000"/>
          <w:spacing w:val="0"/>
          <w:sz w:val="32"/>
        </w:rPr>
        <w:t>R&amp;D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经费支出占全社会  </w:t>
      </w:r>
      <w:r>
        <w:rPr>
          <w:rFonts w:ascii="Times New Roman"/>
          <w:color w:val="000000"/>
          <w:spacing w:val="0"/>
          <w:sz w:val="32"/>
        </w:rPr>
        <w:t>R&amp;D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经费支出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的比重达到   </w:t>
      </w:r>
      <w:r>
        <w:rPr>
          <w:rFonts w:ascii="Times New Roman"/>
          <w:color w:val="000000"/>
          <w:spacing w:val="0"/>
          <w:sz w:val="32"/>
        </w:rPr>
        <w:t>10%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，全省基础研究支出占研发支出的比重达到</w:t>
      </w:r>
    </w:p>
    <w:p>
      <w:pPr>
        <w:pStyle w:val="Normal"/>
        <w:framePr w:w="10346" w:x="1467" w:y="53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>5.54%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（责任单位：省教育厅、省科技厅）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8.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加强产学研合作力度。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建立促进产学研深度融合工作推进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机制，进一步加强跨部门统筹协调和横向联动，系统整合技术、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人才、平台、资金等资源要素，更好促进技术创新、产业升级、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人才培养良性互动。加快各级促进科技成果转化系列政策落实，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鼓励高等院校、科研院所科研人员主动联合企业以企业投入为主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开展产学研合作研究，对单个横向科研项目到位经费达到 </w:t>
      </w:r>
      <w:r>
        <w:rPr>
          <w:rFonts w:ascii="Times New Roman"/>
          <w:color w:val="000000"/>
          <w:spacing w:val="0"/>
          <w:sz w:val="32"/>
        </w:rPr>
        <w:t>50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万元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以上的，视同省级科技计划项目。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（责任单位：省科技厅、省教育</w:t>
      </w:r>
    </w:p>
    <w:p>
      <w:pPr>
        <w:pStyle w:val="Normal"/>
        <w:framePr w:w="10561" w:x="1467" w:y="9451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厅、省工业和信息化厅）</w:t>
      </w:r>
    </w:p>
    <w:p>
      <w:pPr>
        <w:pStyle w:val="Normal"/>
        <w:framePr w:w="9610" w:x="2108" w:y="14092"/>
        <w:widowControl w:val="off"/>
        <w:autoSpaceDE w:val="off"/>
        <w:autoSpaceDN w:val="off"/>
        <w:spacing w:before="0" w:after="0" w:line="353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9.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大力发展新型研发机构。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优先支持高等院校、科研院所与</w:t>
      </w:r>
    </w:p>
    <w:p>
      <w:pPr>
        <w:pStyle w:val="Normal"/>
        <w:framePr w:w="1402" w:x="9482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5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企业合作建立研发中心、产业研究院等新型研发机构。建立新型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研发机构备案库，对绩效考核优秀的入库机构，最高给予 </w:t>
      </w:r>
      <w:r>
        <w:rPr>
          <w:rFonts w:ascii="Times New Roman"/>
          <w:color w:val="000000"/>
          <w:spacing w:val="0"/>
          <w:sz w:val="32"/>
        </w:rPr>
        <w:t>100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万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元后补助支持。支持企业面向全球发榜组织实施重大科技项目，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海外高层次专家揭榜，以技术成果为核心建立新型研发机构实施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7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项目的，试点允许新型研发机构将项目资金按照国家外汇管理规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定跨境使用，促进全球创新资源集聚。鼓励欠发达市、县（市、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区），在济南、青岛、烟台等创新资源聚集区创建科创飞地，在科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创飞地内建立新型研发机构获批省级平台的，按所在地与派出地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分别计算省级研发平台数量。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（责任单位：省科技厅）</w:t>
      </w:r>
    </w:p>
    <w:p>
      <w:pPr>
        <w:pStyle w:val="Normal"/>
        <w:framePr w:w="10343" w:x="1616" w:y="250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VCJJDO+ºÚÌå" w:hAnsi="VCJJDO+ºÚÌå" w:cs="VCJJDO+ºÚÌå"/>
          <w:color w:val="000000"/>
          <w:spacing w:val="0"/>
          <w:sz w:val="32"/>
        </w:rPr>
      </w:pPr>
      <w:r>
        <w:rPr>
          <w:rFonts w:ascii="VCJJDO+ºÚÌå" w:hAnsi="VCJJDO+ºÚÌå" w:cs="VCJJDO+ºÚÌå"/>
          <w:color w:val="000000"/>
          <w:spacing w:val="0"/>
          <w:sz w:val="32"/>
        </w:rPr>
        <w:t>三、发挥财政资金引导作用</w:t>
      </w:r>
    </w:p>
    <w:p>
      <w:pPr>
        <w:pStyle w:val="Normal"/>
        <w:framePr w:w="10342" w:x="1616" w:y="829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10.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完善政府研发投入机制。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各级政府将科技创新作为财政</w:t>
      </w:r>
    </w:p>
    <w:p>
      <w:pPr>
        <w:pStyle w:val="Normal"/>
        <w:framePr w:w="10342" w:x="1616" w:y="8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支出重点领域，统筹各类科技创新发展资金，加大财政科技投入</w:t>
      </w:r>
    </w:p>
    <w:p>
      <w:pPr>
        <w:pStyle w:val="Normal"/>
        <w:framePr w:w="10342" w:x="1616" w:y="82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力度。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（责任单位：省财政厅）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11.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充分发挥财政科技资金杠杆作用</w:t>
      </w:r>
      <w:r>
        <w:rPr>
          <w:rFonts w:ascii="MGBOGA+ËÎÌå" w:hAnsi="MGBOGA+ËÎÌå" w:cs="MGBOGA+ËÎÌå"/>
          <w:color w:val="000000"/>
          <w:spacing w:val="0"/>
          <w:sz w:val="32"/>
        </w:rPr>
        <w:t>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进一步提高企业牵头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承担省重大科技创新项目自筹资金与省级财政科技资金配比，原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 xml:space="preserve">则上按不低于申报支持额度 </w:t>
      </w:r>
      <w:r>
        <w:rPr>
          <w:rFonts w:ascii="Times New Roman"/>
          <w:color w:val="000000"/>
          <w:spacing w:val="0"/>
          <w:sz w:val="32"/>
        </w:rPr>
        <w:t>4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倍的比例配套自筹资金。加大科技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股权投资改革力度，拓宽科技型企业融资渠道，鼓励和引导产业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投资基金、私募股权投资基金等各类社会资本参与科技创新，共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同对科技型中小微企业和高新技术企业给予支持。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</w:t>
      </w:r>
    </w:p>
    <w:p>
      <w:pPr>
        <w:pStyle w:val="Normal"/>
        <w:framePr w:w="10598" w:x="1616" w:y="1003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科技厅、省财政厅）</w:t>
      </w:r>
    </w:p>
    <w:p>
      <w:pPr>
        <w:pStyle w:val="Normal"/>
        <w:framePr w:w="3679" w:x="2256" w:y="14102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VCJJDO+ºÚÌå" w:hAnsi="VCJJDO+ºÚÌå" w:cs="VCJJDO+ºÚÌå"/>
          <w:color w:val="000000"/>
          <w:spacing w:val="0"/>
          <w:sz w:val="32"/>
        </w:rPr>
      </w:pPr>
      <w:r>
        <w:rPr>
          <w:rFonts w:ascii="VCJJDO+ºÚÌå" w:hAnsi="VCJJDO+ºÚÌå" w:cs="VCJJDO+ºÚÌå"/>
          <w:color w:val="000000"/>
          <w:spacing w:val="0"/>
          <w:sz w:val="32"/>
        </w:rPr>
        <w:t>四、提升激励服务水平</w:t>
      </w:r>
    </w:p>
    <w:p>
      <w:pPr>
        <w:pStyle w:val="Normal"/>
        <w:framePr w:w="1402" w:x="1616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6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12.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突出区域评价。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将研发投入作为经济开发区、高新区评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价重要指标，研发投入视同亩均税收。指导经济开发区、高新区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将研发投入高的重大项目优先纳入各类重点项目库，优先安排贷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款、用电、用水、用地、能耗排放指标等。将研发投入强度纳入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79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县域经济高质量发展综合评价指标体系，引导各县加强以科技创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新引领高质量发展。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（责任单位：省科技厅、省商务厅、省发改委）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13.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发挥创新型城市示范引领作用。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各市科技部门要高度重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视全社会研发投入工作，综合运用政策宣讲、跟踪服务、考核激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励等方式，确保各市全社会研发投入保持正增长。已获批开展国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家创新型城市建设的市研发投入强度应保持全省前列，对年度研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发投入强度下降的创新型城市进行约谈。争创国家创新型城市的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市年度研发投入强度应高于全省平均水平。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（责任单位：省科技厅）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14.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规范研发投入会计核算。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针对规模以上企业开展跟踪服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务，指导企业做好研发会计科目或辅助账等基础性工作，实现研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发投入的单独列账、单独核算，全面反映企业研发投入情况。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</w:t>
      </w:r>
    </w:p>
    <w:p>
      <w:pPr>
        <w:pStyle w:val="Normal"/>
        <w:framePr w:w="10875" w:x="1467" w:y="249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IFEPLP+¿¬Ìå_GB2312" w:hAnsi="IFEPLP+¿¬Ìå_GB2312" w:cs="IFEPLP+¿¬Ìå_GB2312"/>
          <w:color w:val="000000"/>
          <w:spacing w:val="0"/>
          <w:sz w:val="32"/>
        </w:rPr>
        <w:t>任单位：省科技厅）</w:t>
      </w:r>
    </w:p>
    <w:p>
      <w:pPr>
        <w:pStyle w:val="Normal"/>
        <w:framePr w:w="10346" w:x="1467" w:y="11770"/>
        <w:widowControl w:val="off"/>
        <w:autoSpaceDE w:val="off"/>
        <w:autoSpaceDN w:val="off"/>
        <w:spacing w:before="0" w:after="0" w:line="353" w:lineRule="exact"/>
        <w:ind w:left="641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Times New Roman"/>
          <w:color w:val="000000"/>
          <w:spacing w:val="0"/>
          <w:sz w:val="32"/>
        </w:rPr>
        <w:t xml:space="preserve">15. 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提高研发投入统计服务水平。</w:t>
      </w:r>
      <w:r>
        <w:rPr>
          <w:rFonts w:ascii="PKAEAR+·ÂËÎ_GB2312" w:hAnsi="PKAEAR+·ÂËÎ_GB2312" w:cs="PKAEAR+·ÂËÎ_GB2312"/>
          <w:color w:val="000000"/>
          <w:spacing w:val="0"/>
          <w:sz w:val="32"/>
        </w:rPr>
        <w:t>按照研发统计制度，定期</w:t>
      </w:r>
    </w:p>
    <w:p>
      <w:pPr>
        <w:pStyle w:val="Normal"/>
        <w:framePr w:w="10346" w:x="1467" w:y="117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组织开展研发投入统计专项培训。推广企业研发项目信息管理系</w:t>
      </w:r>
    </w:p>
    <w:p>
      <w:pPr>
        <w:pStyle w:val="Normal"/>
        <w:framePr w:w="10346" w:x="1467" w:y="117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统，帮助企业完善研发投入会计制度，提高研发投入信息化管理</w:t>
      </w:r>
    </w:p>
    <w:p>
      <w:pPr>
        <w:pStyle w:val="Normal"/>
        <w:framePr w:w="10346" w:x="1467" w:y="11770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水平。加强企业会计核算，做到账表“应建尽建”、费用“应提尽</w:t>
      </w:r>
    </w:p>
    <w:p>
      <w:pPr>
        <w:pStyle w:val="Normal"/>
        <w:framePr w:w="10346" w:x="1467" w:y="117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IFEPLP+¿¬Ìå_GB2312" w:hAnsi="IFEPLP+¿¬Ìå_GB2312" w:cs="IFEPLP+¿¬Ìå_GB2312"/>
          <w:color w:val="000000"/>
          <w:spacing w:val="0"/>
          <w:sz w:val="32"/>
        </w:rPr>
      </w:pPr>
      <w:r>
        <w:rPr>
          <w:rFonts w:ascii="PKAEAR+·ÂËÎ_GB2312" w:hAnsi="PKAEAR+·ÂËÎ_GB2312" w:cs="PKAEAR+·ÂËÎ_GB2312"/>
          <w:color w:val="000000"/>
          <w:spacing w:val="0"/>
          <w:sz w:val="32"/>
        </w:rPr>
        <w:t>提”、数据“应统尽统”。</w:t>
      </w:r>
      <w:r>
        <w:rPr>
          <w:rFonts w:ascii="IFEPLP+¿¬Ìå_GB2312" w:hAnsi="IFEPLP+¿¬Ìå_GB2312" w:cs="IFEPLP+¿¬Ìå_GB2312"/>
          <w:color w:val="000000"/>
          <w:spacing w:val="0"/>
          <w:sz w:val="32"/>
        </w:rPr>
        <w:t>（责任单位：省科技厅、省统计局）</w:t>
      </w:r>
    </w:p>
    <w:p>
      <w:pPr>
        <w:pStyle w:val="Normal"/>
        <w:framePr w:w="1402" w:x="9482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7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543" w:x="1755" w:y="14545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28"/>
        </w:rPr>
      </w:pPr>
      <w:r>
        <w:rPr>
          <w:rFonts w:ascii="PKAEAR+·ÂËÎ_GB2312" w:hAnsi="PKAEAR+·ÂËÎ_GB2312" w:cs="PKAEAR+·ÂËÎ_GB2312"/>
          <w:color w:val="000000"/>
          <w:spacing w:val="0"/>
          <w:sz w:val="28"/>
        </w:rPr>
        <w:t>山东省科学技术厅办公室</w:t>
      </w:r>
    </w:p>
    <w:p>
      <w:pPr>
        <w:pStyle w:val="Normal"/>
        <w:framePr w:w="3017" w:x="7773" w:y="14536"/>
        <w:widowControl w:val="off"/>
        <w:autoSpaceDE w:val="off"/>
        <w:autoSpaceDN w:val="off"/>
        <w:spacing w:before="0" w:after="0" w:line="311" w:lineRule="exact"/>
        <w:ind w:left="0" w:right="0" w:first-line="0"/>
        <w:jc w:val="left"/>
        <w:rPr>
          <w:rFonts w:ascii="PKAEAR+·ÂËÎ_GB2312" w:hAnsi="PKAEAR+·ÂËÎ_GB2312" w:cs="PKAEAR+·ÂËÎ_GB2312"/>
          <w:color w:val="000000"/>
          <w:spacing w:val="0"/>
          <w:sz w:val="28"/>
        </w:rPr>
      </w:pPr>
      <w:r>
        <w:rPr>
          <w:rFonts w:ascii="Times New Roman"/>
          <w:color w:val="000000"/>
          <w:spacing w:val="0"/>
          <w:sz w:val="28"/>
        </w:rPr>
        <w:t>2021</w:t>
      </w:r>
      <w:r>
        <w:rPr>
          <w:rFonts w:ascii="PKAEAR+·ÂËÎ_GB2312" w:hAnsi="PKAEAR+·ÂËÎ_GB2312" w:cs="PKAEAR+·ÂËÎ_GB2312"/>
          <w:color w:val="000000"/>
          <w:spacing w:val="0"/>
          <w:sz w:val="28"/>
        </w:rPr>
        <w:t xml:space="preserve">年  </w:t>
      </w:r>
      <w:r>
        <w:rPr>
          <w:rFonts w:ascii="Times New Roman"/>
          <w:color w:val="000000"/>
          <w:spacing w:val="0"/>
          <w:sz w:val="28"/>
        </w:rPr>
        <w:t>2</w:t>
      </w:r>
      <w:r>
        <w:rPr>
          <w:rFonts w:ascii="PKAEAR+·ÂËÎ_GB2312" w:hAnsi="PKAEAR+·ÂËÎ_GB2312" w:cs="PKAEAR+·ÂËÎ_GB2312"/>
          <w:color w:val="000000"/>
          <w:spacing w:val="0"/>
          <w:sz w:val="28"/>
        </w:rPr>
        <w:t xml:space="preserve">月  </w:t>
      </w:r>
      <w:r>
        <w:rPr>
          <w:rFonts w:ascii="Times New Roman"/>
          <w:color w:val="000000"/>
          <w:spacing w:val="0"/>
          <w:sz w:val="28"/>
        </w:rPr>
        <w:t>7</w:t>
      </w:r>
      <w:r>
        <w:rPr>
          <w:rFonts w:ascii="PKAEAR+·ÂËÎ_GB2312" w:hAnsi="PKAEAR+·ÂËÎ_GB2312" w:cs="PKAEAR+·ÂËÎ_GB2312"/>
          <w:color w:val="000000"/>
          <w:spacing w:val="0"/>
          <w:sz w:val="28"/>
        </w:rPr>
        <w:t>日印发</w:t>
      </w:r>
    </w:p>
    <w:p>
      <w:pPr>
        <w:pStyle w:val="Normal"/>
        <w:framePr w:w="1402" w:x="1616" w:y="15359"/>
        <w:widowControl w:val="off"/>
        <w:autoSpaceDE w:val="off"/>
        <w:autoSpaceDN w:val="off"/>
        <w:spacing w:before="0" w:after="0" w:line="281" w:lineRule="exact"/>
        <w:ind w:left="0" w:right="0" w:first-line="0"/>
        <w:jc w:val="left"/>
        <w:rPr>
          <w:rFonts w:ascii="MGBOGA+ËÎÌå" w:hAnsi="MGBOGA+ËÎÌå" w:cs="MGBOGA+ËÎÌå"/>
          <w:color w:val="000000"/>
          <w:spacing w:val="0"/>
          <w:sz w:val="28"/>
        </w:rPr>
      </w:pPr>
      <w:r>
        <w:rPr>
          <w:rFonts w:ascii="MGBOGA+ËÎÌå" w:hAnsi="MGBOGA+ËÎÌå" w:cs="MGBOGA+ËÎÌå"/>
          <w:color w:val="000000"/>
          <w:spacing w:val="0"/>
          <w:sz w:val="28"/>
        </w:rPr>
        <w:t xml:space="preserve">— </w:t>
      </w:r>
      <w:r>
        <w:rPr>
          <w:rFonts w:ascii="AUNSFA+ËÎÌå"/>
          <w:color w:val="000000"/>
          <w:spacing w:val="0"/>
          <w:sz w:val="28"/>
        </w:rPr>
        <w:t>8</w:t>
      </w:r>
      <w:r>
        <w:rPr>
          <w:rFonts w:ascii="MGBOGA+ËÎÌå" w:hAnsi="MGBOGA+ËÎÌå" w:cs="MGBOGA+ËÎÌå"/>
          <w:color w:val="000000"/>
          <w:spacing w:val="0"/>
          <w:sz w:val="28"/>
        </w:rPr>
        <w:t>—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noProof w:val="on"/>
        </w:rPr>
        <w:pict>
          <v:shape xmlns:v="urn:schemas-microsoft-com:vml" id="_x000015" style="position:absolute;margin-left:79.35pt;margin-top:692.6pt;z-index:-63;width:452.7pt;height:26.15pt;mso-position-horizontal:absolute;mso-position-horizontal-relative:page;mso-position-vertical:absolute;mso-position-vertical-relative:page" type="#_x0000_t75">
            <v:imageData xmlns:r="http://schemas.openxmlformats.org/officeDocument/2006/relationships" r:id="rId16"/>
          </v:shape>
        </w:pict>
      </w:r>
      <w:r>
        <w:rPr>
          <w:noProof w:val="on"/>
        </w:rPr>
        <w:pict>
          <v:shape xmlns:v="urn:schemas-microsoft-com:vml" id="_x000016" style="position:absolute;margin-left:80.4pt;margin-top:749pt;z-index:-67;width:450pt;height:1pt;mso-position-horizontal:absolute;mso-position-horizontal-relative:page;mso-position-vertical:absolute;mso-position-vertical-relative:page" type="#_x0000_t75">
            <v:imageData xmlns:r="http://schemas.openxmlformats.org/officeDocument/2006/relationships" r:id="rId17"/>
          </v:shape>
        </w:pict>
      </w:r>
      <w:r>
        <w:rPr>
          <w:rFonts w:ascii="Arial"/>
          <w:color w:val="ff0000"/>
          <w:spacing w:val="0"/>
          <w:sz w:val="14"/>
        </w:rPr>
      </w:r>
    </w:p>
    <w:sectPr>
      <w:pgSz w:w="12060" w:h="17280"/>
      <w:pgMar w:top="0" w:right="0" w:bottom="0" w:left="0" w:header="720" w:footer="720" w:gutter="0"/>
      <w:pgNumType w:start="1"/>
      <w:cols w:space="720" w:sep="off"/>
      <w:docGrid w:line-pitch="1"/>
    </w:sectPr>
  </w:body>
</w:document>
</file>

<file path=word/fontTable.xml><?xml version="1.0" encoding="utf-8"?>
<w:fonts xmlns:w="http://schemas.openxmlformats.org/wordprocessingml/2006/main">
  <w:defaultFonts w:hintType="default" w:ascii="Calibri" w:h-ansi="Calibri" w:fareast="Calibri"/>
  <w:font w:name="Times New Roman">
    <w:panose-1>"02020603050405020304"</w:panose-1>
    <w:charset>
      <w:val>"cc"</w:val>
    </w:charset>
    <w:family>"Roman"</w:family>
    <w:notTrueType w:val="off"/>
    <w:pitch>"variable"</w:pitch>
    <w:sig w:usb0="01010101" w:usb1="01010101" w:usb2="01010101" w:usb3="01010101" w:csb0="01010101" w:csb1="01010101"/>
  </w:font>
  <w:font w:name="Symbol">
    <w:panose-1>"05050102010706020507"</w:panose-1>
    <w:charset>
      <w:val>"02"</w:val>
    </w:charset>
    <w:family>"Roman"</w:family>
    <w:notTrueType w:val="off"/>
    <w:pitch>"variable"</w:pitch>
    <w:sig w:usb0="01010101" w:usb1="01010101" w:usb2="01010101" w:usb3="01010101" w:csb0="01010101" w:csb1="01010101"/>
  </w:font>
  <w:font w:name="Arial">
    <w:panose-1>"020b0604020202020204"</w:panose-1>
    <w:charset>
      <w:val>"cc"</w:val>
    </w:charset>
    <w:family>"Swiss"</w:family>
    <w:notTrueType w:val="off"/>
    <w:pitch>"variable"</w:pitch>
    <w:sig w:usb0="01010101" w:usb1="01010101" w:usb2="01010101" w:usb3="01010101" w:csb0="01010101" w:csb1="01010101"/>
  </w:font>
  <w:font w:name="Calibri">
    <w:panose-1>"020f0502020204030204"</w:panose-1>
    <w:charset>
      <w:val>"cc"</w:val>
    </w:charset>
    <w:family>"Swiss"</w:family>
    <w:notTrueType w:val="off"/>
    <w:pitch>"variable"</w:pitch>
    <w:sig w:usb0="01010101" w:usb1="01010101" w:usb2="01010101" w:usb3="01010101" w:csb0="01010101" w:csb1="01010101"/>
  </w:font>
  <w:font w:name="Cambria Math">
    <w:panose-1>"02040503050406030204"</w:panose-1>
    <w:charset>
      <w:val>"cc"</w:val>
    </w:charset>
    <w:family>"Roman"</w:family>
    <w:notTrueType w:val="off"/>
    <w:pitch>"variable"</w:pitch>
    <w:sig w:usb0="01010101" w:usb1="01010101" w:usb2="01010101" w:usb3="01010101" w:csb0="01010101" w:csb1="01010101"/>
  </w:font>
  <w:font w:name="PKAEAR+·ÂËÎ_GB2312">
    <w:panose-1>"02010609030101010101"</w:panose-1>
    <w:charset>
      <w:val>"01"</w:val>
    </w:charset>
    <w:family>"Modern"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1" w:fontKey="{a40d5c0f-0000-0000-0000-000000000000}"/>
  </w:font>
  <w:font w:name="MGBOGA+ËÎÌå">
    <w:panose-1>"02010600030101010101"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2" w:fontKey="{18dedf62-0000-0000-0000-000000000000}"/>
  </w:font>
  <w:font w:name="AUNSFA+ËÎÌå">
    <w:panose-1>"02010600030101010101"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3" w:fontKey="{fbf23229-0000-0000-0000-000000000000}"/>
  </w:font>
  <w:font w:name="PKAEAR+·ÂËÎ_GB2312">
    <w:panose-1>"02010609030101010101"</w:panose-1>
    <w:charset>
      <w:val>"01"</w:val>
    </w:charset>
    <w:family>"Modern"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1" w:fontKey="{a40d5c0f-0000-0000-0000-000000000000}"/>
  </w:font>
  <w:font w:name="KIDIOO+·ÂËÎ_GB2312">
    <w:panose-1>"02010609030101010101"</w:panose-1>
    <w:charset>
      <w:val>"01"</w:val>
    </w:charset>
    <w:family>"Modern"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4" w:fontKey="{102e6647-0000-0000-0000-000000000000}"/>
  </w:font>
  <w:font w:name="MGBOGA+ËÎÌå">
    <w:panose-1>"02010600030101010101"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2" w:fontKey="{18dedf62-0000-0000-0000-000000000000}"/>
  </w:font>
  <w:font w:name="AUNSFA+ËÎÌå">
    <w:panose-1>"02010600030101010101"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3" w:fontKey="{fbf23229-0000-0000-0000-000000000000}"/>
  </w:font>
  <w:font w:name="VCJJDO+ºÚÌå">
    <w:panose-1>"02010609060101010101"</w:panose-1>
    <w:charset>
      <w:val>"01"</w:val>
    </w:charset>
    <w:family>"Modern"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5" w:fontKey="{2933b62a-0000-0000-0000-000000000000}"/>
  </w:font>
  <w:font w:name="IFEPLP+¿¬Ìå_GB2312">
    <w:panose-1>"02010609030101010101"</w:panose-1>
    <w:charset>
      <w:val>"01"</w:val>
    </w:charset>
    <w:family>"Modern"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6" w:fontKey="{06a370bf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latentStyle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pStyle w:val="Normal"/>
      <w:spacing w:before="120" w:after="240"/>
      <w:jc w:val="both"/>
    </w:pPr>
    <w:rPr>
      <w:sz w:val="22"/>
      <w:sz-cs w:val="22"/>
      <w:lang w:val="ru-RU" w:fareast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</w:style>
  <w:style w:type="table" w:styleId="TableNormal" w:default="on">
    <w:name w:val="Table Normal"/>
    <w:next w:val="TableNormal"/>
    <w:link w:val="Normal"/>
    <w:semiHidden w:val="on"/>
    <w:pPr>
      <w:pStyle w:val="TableNormal"/>
    </w:pPr>
    <w:tblPr>
      <w:tblInd w:w="0" w:type="dxa"/>
      <w:tblLayout>"Fixed"</w:tblLayout>
      <w:tblCellMar>
        <w:top w:w="0" w:type="dxa"/>
        <w:left w:w="108" w:type="dxa"/>
        <w:bottom w:w="0" w:type="dxa"/>
        <w:right w:w="0" w:type="dxa"/>
      </w:tblCellMar>
    </w:tblPr>
  </w:style>
  <w:style w:type="list" w:styleId="NoList" w:default="on">
    <w:name w:val="No List"/>
    <w:next w:val="NoList"/>
    <w:link w:val="Normal"/>
    <w:semiHidden w:val="on"/>
    <w:pPr>
      <w:pStyle w:val="NoLi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image" Target="media/image10.jpeg" /><Relationship Id="rId11" Type="http://schemas.openxmlformats.org/officeDocument/2006/relationships/image" Target="media/image11.jpeg" /><Relationship Id="rId12" Type="http://schemas.openxmlformats.org/officeDocument/2006/relationships/image" Target="media/image12.jpeg" /><Relationship Id="rId13" Type="http://schemas.openxmlformats.org/officeDocument/2006/relationships/image" Target="media/image13.jpeg" /><Relationship Id="rId14" Type="http://schemas.openxmlformats.org/officeDocument/2006/relationships/image" Target="media/image14.jpeg" /><Relationship Id="rId15" Type="http://schemas.openxmlformats.org/officeDocument/2006/relationships/image" Target="media/image15.jpeg" /><Relationship Id="rId16" Type="http://schemas.openxmlformats.org/officeDocument/2006/relationships/image" Target="media/image16.jpeg" /><Relationship Id="rId17" Type="http://schemas.openxmlformats.org/officeDocument/2006/relationships/image" Target="media/image17.jpeg" /><Relationship Id="rId18" Type="http://schemas.openxmlformats.org/officeDocument/2006/relationships/styles" Target="styles.xml" /><Relationship Id="rId19" Type="http://schemas.openxmlformats.org/officeDocument/2006/relationships/fontTable" Target="fontTable.xml" /><Relationship Id="rId2" Type="http://schemas.openxmlformats.org/officeDocument/2006/relationships/image" Target="media/image2.jpeg" /><Relationship Id="rId20" Type="http://schemas.openxmlformats.org/officeDocument/2006/relationships/settings" Target="settings.xml" /><Relationship Id="rId21" Type="http://schemas.openxmlformats.org/officeDocument/2006/relationships/webSettings" Target="webSettings.xml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image" Target="media/image5.jpeg" /><Relationship Id="rId6" Type="http://schemas.openxmlformats.org/officeDocument/2006/relationships/image" Target="media/image6.jpeg" /><Relationship Id="rId7" Type="http://schemas.openxmlformats.org/officeDocument/2006/relationships/image" Target="media/image7.jpeg" /><Relationship Id="rId8" Type="http://schemas.openxmlformats.org/officeDocument/2006/relationships/image" Target="media/image8.jpeg" /><Relationship Id="rId9" Type="http://schemas.openxmlformats.org/officeDocument/2006/relationships/image" Target="media/image9.jpeg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Relationship Id="rId5" Type="http://schemas.openxmlformats.org/officeDocument/2006/relationships/font" Target="fonts/font5.odttf" /><Relationship Id="rId6" Type="http://schemas.openxmlformats.org/officeDocument/2006/relationships/font" Target="fonts/font6.odttf" /></Relationships>
</file>

<file path=docProps/app.xml><?xml version="1.0" encoding="utf-8"?>
<Properties xmlns="http://schemas.openxmlformats.org/officeDocument/2006/extended-properties">
  <Template>Normal</Template>
  <TotalTime>3</TotalTime>
  <Pages>8</Pages>
  <Words>252</Words>
  <Characters>2871</Characters>
  <Application>Aspose</Application>
  <DocSecurity>0</DocSecurity>
  <Lines>127</Lines>
  <Paragraphs>127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3025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SYSTEM</dc:creator>
  <lastModifiedBy>SYSTEM</lastModifiedBy>
  <revision>1</revision>
  <dcterms:created xmlns:xsi="http://www.w3.org/2001/XMLSchema-instance" xmlns:dcterms="http://purl.org/dc/terms/" xsi:type="dcterms:W3CDTF">2021-05-06T15:50:18+08:00</dcterms:created>
  <dcterms:modified xmlns:xsi="http://www.w3.org/2001/XMLSchema-instance" xmlns:dcterms="http://purl.org/dc/terms/" xsi:type="dcterms:W3CDTF">2021-05-06T15:50:18+08:00</dcterms:modified>
</coreProperties>
</file>